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CCECFF"/>
          <w:bottom w:val="single" w:sz="12" w:space="0" w:color="CCECFF"/>
          <w:insideH w:val="single" w:sz="12" w:space="0" w:color="FFFFFF"/>
          <w:insideV w:val="single" w:sz="12" w:space="0" w:color="FFFFFF"/>
        </w:tblBorders>
        <w:tblLayout w:type="fixed"/>
        <w:tblLook w:val="0000" w:firstRow="0" w:lastRow="0" w:firstColumn="0" w:lastColumn="0" w:noHBand="0" w:noVBand="0"/>
      </w:tblPr>
      <w:tblGrid>
        <w:gridCol w:w="1729"/>
        <w:gridCol w:w="292"/>
        <w:gridCol w:w="5816"/>
        <w:gridCol w:w="292"/>
        <w:gridCol w:w="1739"/>
      </w:tblGrid>
      <w:tr w:rsidR="000205DD" w14:paraId="3E49F32E" w14:textId="77777777" w:rsidTr="00200095">
        <w:tc>
          <w:tcPr>
            <w:tcW w:w="1729" w:type="dxa"/>
            <w:shd w:val="clear" w:color="auto" w:fill="000084"/>
          </w:tcPr>
          <w:p w14:paraId="116A5D8F" w14:textId="77777777" w:rsidR="000205DD" w:rsidRDefault="000205DD" w:rsidP="00200095">
            <w:pPr>
              <w:snapToGrid w:val="0"/>
              <w:rPr>
                <w:rFonts w:ascii="Calibri" w:eastAsia="Calibri" w:hAnsi="Calibri" w:cs="Calibri"/>
              </w:rPr>
            </w:pPr>
            <w:bookmarkStart w:id="0" w:name="_Hlk169709562"/>
            <w:bookmarkStart w:id="1" w:name="_Hlk111442635"/>
            <w:bookmarkStart w:id="2" w:name="_Hlk106384610"/>
            <w:bookmarkEnd w:id="0"/>
            <w:bookmarkEnd w:id="1"/>
            <w:bookmarkEnd w:id="2"/>
          </w:p>
        </w:tc>
        <w:tc>
          <w:tcPr>
            <w:tcW w:w="292" w:type="dxa"/>
            <w:shd w:val="clear" w:color="auto" w:fill="000084"/>
          </w:tcPr>
          <w:p w14:paraId="3893FD02" w14:textId="77777777" w:rsidR="000205DD" w:rsidRDefault="000205DD" w:rsidP="00200095">
            <w:pPr>
              <w:snapToGrid w:val="0"/>
              <w:jc w:val="center"/>
              <w:rPr>
                <w:rFonts w:ascii="Calibri" w:eastAsia="Calibri" w:hAnsi="Calibri" w:cs="Calibri"/>
              </w:rPr>
            </w:pPr>
          </w:p>
        </w:tc>
        <w:tc>
          <w:tcPr>
            <w:tcW w:w="5816" w:type="dxa"/>
          </w:tcPr>
          <w:p w14:paraId="205E0933" w14:textId="77777777" w:rsidR="000205DD" w:rsidRDefault="000205DD" w:rsidP="00200095">
            <w:pPr>
              <w:jc w:val="center"/>
              <w:rPr>
                <w:rFonts w:ascii="Calibri" w:eastAsia="Calibri" w:hAnsi="Calibri" w:cs="Calibri"/>
              </w:rPr>
            </w:pPr>
          </w:p>
          <w:p w14:paraId="5293AA57" w14:textId="77777777" w:rsidR="000205DD" w:rsidRDefault="000205DD" w:rsidP="00200095">
            <w:pPr>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36030686" wp14:editId="718DADE6">
                  <wp:extent cx="542925" cy="561975"/>
                  <wp:effectExtent l="0" t="0" r="9525" b="9525"/>
                  <wp:docPr id="2086703385" name="Immagine 1" descr="Immagine che contiene ingranaggio, simbolo, cerchi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3385" name="Immagine 1" descr="Immagine che contiene ingranaggio, simbolo, cerchio, emblema&#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l="-10764" t="-10449" r="-10764" b="-10449"/>
                          <a:stretch>
                            <a:fillRect/>
                          </a:stretch>
                        </pic:blipFill>
                        <pic:spPr bwMode="auto">
                          <a:xfrm>
                            <a:off x="0" y="0"/>
                            <a:ext cx="542925" cy="561975"/>
                          </a:xfrm>
                          <a:prstGeom prst="rect">
                            <a:avLst/>
                          </a:prstGeom>
                          <a:solidFill>
                            <a:srgbClr val="FFFFFF"/>
                          </a:solidFill>
                          <a:ln>
                            <a:noFill/>
                          </a:ln>
                        </pic:spPr>
                      </pic:pic>
                    </a:graphicData>
                  </a:graphic>
                </wp:inline>
              </w:drawing>
            </w:r>
          </w:p>
          <w:p w14:paraId="05FAAA05" w14:textId="77777777" w:rsidR="000205DD" w:rsidRDefault="000205DD" w:rsidP="00200095">
            <w:pPr>
              <w:jc w:val="center"/>
            </w:pPr>
            <w:r>
              <w:rPr>
                <w:rFonts w:ascii="Calibri" w:eastAsia="Calibri" w:hAnsi="Calibri" w:cs="Calibri"/>
                <w:sz w:val="20"/>
                <w:szCs w:val="20"/>
              </w:rPr>
              <w:t>Società Italiana di Medicina del Lavoro</w:t>
            </w:r>
          </w:p>
          <w:p w14:paraId="7C593032" w14:textId="77777777" w:rsidR="000205DD" w:rsidRDefault="000205DD" w:rsidP="00200095">
            <w:pPr>
              <w:jc w:val="center"/>
              <w:rPr>
                <w:rFonts w:ascii="Calibri" w:eastAsia="Calibri" w:hAnsi="Calibri" w:cs="Calibri"/>
                <w:sz w:val="20"/>
                <w:szCs w:val="20"/>
              </w:rPr>
            </w:pPr>
          </w:p>
          <w:p w14:paraId="049AD8B7" w14:textId="77777777" w:rsidR="000205DD" w:rsidRDefault="000205DD" w:rsidP="00200095">
            <w:pPr>
              <w:jc w:val="center"/>
            </w:pPr>
            <w:r>
              <w:rPr>
                <w:rFonts w:ascii="Calibri" w:eastAsia="Calibri" w:hAnsi="Calibri" w:cs="Calibri"/>
                <w:b/>
                <w:bCs/>
                <w:sz w:val="20"/>
                <w:szCs w:val="20"/>
              </w:rPr>
              <w:t>COMMISSIONE PERMANENTE FORMAZIONE,</w:t>
            </w:r>
          </w:p>
          <w:p w14:paraId="4378A358" w14:textId="77777777" w:rsidR="000205DD" w:rsidRDefault="000205DD" w:rsidP="00200095">
            <w:pPr>
              <w:jc w:val="center"/>
            </w:pPr>
            <w:r>
              <w:rPr>
                <w:rFonts w:ascii="Calibri" w:eastAsia="Calibri" w:hAnsi="Calibri" w:cs="Calibri"/>
                <w:b/>
                <w:bCs/>
                <w:sz w:val="20"/>
                <w:szCs w:val="20"/>
              </w:rPr>
              <w:t>AGGIORNAMENTO E LINEE GUIDA</w:t>
            </w:r>
          </w:p>
          <w:p w14:paraId="061F5006" w14:textId="77777777" w:rsidR="000205DD" w:rsidRDefault="000205DD" w:rsidP="00200095">
            <w:pPr>
              <w:jc w:val="center"/>
            </w:pPr>
            <w:r>
              <w:rPr>
                <w:rFonts w:ascii="Calibri" w:eastAsia="Calibri" w:hAnsi="Calibri" w:cs="Calibri"/>
                <w:sz w:val="18"/>
                <w:szCs w:val="18"/>
              </w:rPr>
              <w:t>(Coordinatore: Prof. Alfonso Cristaudo)</w:t>
            </w:r>
          </w:p>
          <w:p w14:paraId="7A4D9C9D" w14:textId="77777777" w:rsidR="000205DD" w:rsidRDefault="000205DD" w:rsidP="00200095">
            <w:pPr>
              <w:jc w:val="center"/>
              <w:rPr>
                <w:rFonts w:ascii="Calibri" w:eastAsia="Calibri" w:hAnsi="Calibri" w:cs="Calibri"/>
              </w:rPr>
            </w:pPr>
          </w:p>
          <w:p w14:paraId="0E7E3A36" w14:textId="77777777" w:rsidR="000205DD" w:rsidRDefault="000205DD" w:rsidP="00200095">
            <w:pPr>
              <w:jc w:val="center"/>
            </w:pPr>
            <w:r>
              <w:rPr>
                <w:rFonts w:ascii="Calibri" w:eastAsia="Calibri" w:hAnsi="Calibri" w:cs="Calibri"/>
                <w:b/>
                <w:sz w:val="44"/>
              </w:rPr>
              <w:t xml:space="preserve">SALUTE E SICUREZZA NEL SETTORE DEI TRASPORTI </w:t>
            </w:r>
          </w:p>
          <w:p w14:paraId="1B8BD0CF" w14:textId="77777777" w:rsidR="000205DD" w:rsidRDefault="000205DD" w:rsidP="00200095">
            <w:pPr>
              <w:jc w:val="center"/>
            </w:pPr>
            <w:r>
              <w:rPr>
                <w:rFonts w:ascii="Calibri" w:eastAsia="Calibri" w:hAnsi="Calibri" w:cs="Calibri"/>
                <w:b/>
                <w:sz w:val="28"/>
                <w:szCs w:val="28"/>
              </w:rPr>
              <w:t>DOCUMENTO</w:t>
            </w:r>
          </w:p>
          <w:p w14:paraId="5DD64899" w14:textId="77777777" w:rsidR="000205DD" w:rsidRDefault="000205DD" w:rsidP="00200095">
            <w:pPr>
              <w:jc w:val="center"/>
            </w:pPr>
            <w:r>
              <w:rPr>
                <w:rFonts w:ascii="Calibri" w:eastAsia="Calibri" w:hAnsi="Calibri" w:cs="Calibri"/>
                <w:b/>
                <w:sz w:val="28"/>
                <w:szCs w:val="28"/>
              </w:rPr>
              <w:t>DI ORIENTAMENTO PROFESSIONALE</w:t>
            </w:r>
          </w:p>
          <w:p w14:paraId="00AC06A7" w14:textId="77777777" w:rsidR="000205DD" w:rsidRDefault="000205DD" w:rsidP="00200095">
            <w:pPr>
              <w:jc w:val="center"/>
            </w:pPr>
            <w:r>
              <w:rPr>
                <w:rFonts w:ascii="Calibri" w:eastAsia="Calibri" w:hAnsi="Calibri" w:cs="Calibri"/>
                <w:b/>
                <w:sz w:val="28"/>
                <w:szCs w:val="28"/>
              </w:rPr>
              <w:t xml:space="preserve">PER IL MEDICO DEL LAVORO </w:t>
            </w:r>
          </w:p>
          <w:p w14:paraId="6287EBD0" w14:textId="77777777" w:rsidR="000205DD" w:rsidRDefault="000205DD" w:rsidP="00200095">
            <w:pPr>
              <w:jc w:val="center"/>
              <w:rPr>
                <w:rFonts w:ascii="Calibri" w:eastAsia="Calibri" w:hAnsi="Calibri" w:cs="Calibri"/>
                <w:b/>
                <w:sz w:val="44"/>
              </w:rPr>
            </w:pPr>
          </w:p>
          <w:p w14:paraId="136E7EC8" w14:textId="77777777" w:rsidR="000205DD" w:rsidRDefault="000205DD" w:rsidP="00200095">
            <w:pPr>
              <w:jc w:val="center"/>
              <w:rPr>
                <w:rFonts w:ascii="Calibri" w:eastAsia="Calibri" w:hAnsi="Calibri" w:cs="Calibri"/>
                <w:b/>
                <w:bCs/>
                <w:sz w:val="36"/>
                <w:szCs w:val="36"/>
              </w:rPr>
            </w:pPr>
          </w:p>
          <w:p w14:paraId="11027309" w14:textId="77777777" w:rsidR="000205DD" w:rsidRDefault="000205DD" w:rsidP="00200095">
            <w:pPr>
              <w:jc w:val="center"/>
              <w:rPr>
                <w:rFonts w:ascii="Calibri" w:eastAsia="Calibri" w:hAnsi="Calibri" w:cs="Calibri"/>
                <w:b/>
                <w:bCs/>
                <w:sz w:val="36"/>
                <w:szCs w:val="36"/>
              </w:rPr>
            </w:pPr>
          </w:p>
          <w:p w14:paraId="2603D279" w14:textId="77777777" w:rsidR="000205DD" w:rsidRDefault="000205DD" w:rsidP="00200095">
            <w:pPr>
              <w:jc w:val="center"/>
              <w:rPr>
                <w:rFonts w:ascii="Calibri" w:eastAsia="Calibri" w:hAnsi="Calibri" w:cs="Calibri"/>
                <w:b/>
                <w:bCs/>
                <w:sz w:val="36"/>
                <w:szCs w:val="36"/>
              </w:rPr>
            </w:pPr>
          </w:p>
          <w:p w14:paraId="7BAE3A41" w14:textId="77777777" w:rsidR="000205DD" w:rsidRPr="00705ED1" w:rsidRDefault="000205DD" w:rsidP="00200095">
            <w:pPr>
              <w:jc w:val="center"/>
            </w:pPr>
            <w:r w:rsidRPr="00705ED1">
              <w:rPr>
                <w:rFonts w:ascii="Calibri" w:eastAsia="Calibri" w:hAnsi="Calibri" w:cs="Calibri"/>
                <w:sz w:val="20"/>
                <w:szCs w:val="20"/>
              </w:rPr>
              <w:t>Alfonso Cristaudo, Giuseppe Saffioti (Coordinatori)</w:t>
            </w:r>
          </w:p>
          <w:p w14:paraId="65FDC8B2" w14:textId="77777777" w:rsidR="000205DD" w:rsidRPr="00705ED1" w:rsidRDefault="000205DD" w:rsidP="00200095">
            <w:pPr>
              <w:jc w:val="both"/>
              <w:rPr>
                <w:rFonts w:ascii="Calibri" w:eastAsia="Calibri" w:hAnsi="Calibri" w:cs="Calibri"/>
                <w:sz w:val="20"/>
                <w:szCs w:val="20"/>
              </w:rPr>
            </w:pPr>
            <w:r w:rsidRPr="00705ED1">
              <w:rPr>
                <w:rFonts w:ascii="Calibri" w:eastAsia="Calibri" w:hAnsi="Calibri" w:cs="Calibri"/>
                <w:sz w:val="20"/>
                <w:szCs w:val="20"/>
              </w:rPr>
              <w:t>Alessandro Baracco</w:t>
            </w:r>
            <w:r>
              <w:rPr>
                <w:rFonts w:ascii="Calibri" w:eastAsia="Calibri" w:hAnsi="Calibri" w:cs="Calibri"/>
                <w:sz w:val="20"/>
                <w:szCs w:val="20"/>
              </w:rPr>
              <w:t>,</w:t>
            </w:r>
            <w:r w:rsidRPr="00705ED1">
              <w:rPr>
                <w:rFonts w:ascii="Calibri" w:eastAsia="Calibri" w:hAnsi="Calibri" w:cs="Calibri"/>
                <w:sz w:val="20"/>
                <w:szCs w:val="20"/>
              </w:rPr>
              <w:t xml:space="preserve"> Gianluca Ceccarelli, Francesca Cosentino, Pietro Ferraro, Alessandro Fiorini, Rudy Foddis, Sergio Garbarino, Alessandro Godono, Nicola Murgia, Alessandro Peretti, Matteo Riva, Sara Salis, Elisa Venturini. </w:t>
            </w:r>
          </w:p>
          <w:p w14:paraId="540942E2" w14:textId="77777777" w:rsidR="000205DD" w:rsidRDefault="000205DD" w:rsidP="00200095">
            <w:pPr>
              <w:jc w:val="center"/>
              <w:rPr>
                <w:rFonts w:ascii="Calibri" w:eastAsia="Calibri" w:hAnsi="Calibri" w:cs="Calibri"/>
                <w:sz w:val="20"/>
                <w:szCs w:val="20"/>
              </w:rPr>
            </w:pPr>
          </w:p>
          <w:p w14:paraId="0257B95D" w14:textId="77777777" w:rsidR="000205DD" w:rsidRDefault="000205DD" w:rsidP="00200095">
            <w:pPr>
              <w:jc w:val="center"/>
              <w:rPr>
                <w:rFonts w:ascii="Calibri" w:eastAsia="Calibri" w:hAnsi="Calibri" w:cs="Calibri"/>
                <w:sz w:val="36"/>
                <w:szCs w:val="36"/>
              </w:rPr>
            </w:pPr>
          </w:p>
          <w:p w14:paraId="7A6ECF6B" w14:textId="77777777" w:rsidR="000205DD" w:rsidRDefault="000205DD" w:rsidP="00200095">
            <w:pPr>
              <w:jc w:val="center"/>
            </w:pPr>
            <w:r>
              <w:rPr>
                <w:rFonts w:ascii="Calibri" w:eastAsia="Calibri" w:hAnsi="Calibri" w:cs="Calibri"/>
                <w:b/>
                <w:bCs/>
                <w:sz w:val="20"/>
                <w:szCs w:val="20"/>
              </w:rPr>
              <w:t>www.siml.it</w:t>
            </w:r>
            <w:r>
              <w:rPr>
                <w:rFonts w:ascii="Calibri" w:eastAsia="Calibri" w:hAnsi="Calibri" w:cs="Calibri"/>
                <w:sz w:val="20"/>
                <w:szCs w:val="20"/>
              </w:rPr>
              <w:t xml:space="preserve"> © </w:t>
            </w:r>
            <w:r>
              <w:rPr>
                <w:rFonts w:ascii="Calibri" w:eastAsia="Calibri" w:hAnsi="Calibri" w:cs="Calibri"/>
                <w:b/>
                <w:bCs/>
                <w:sz w:val="20"/>
                <w:szCs w:val="20"/>
              </w:rPr>
              <w:t>2024</w:t>
            </w:r>
          </w:p>
          <w:p w14:paraId="08182347" w14:textId="77777777" w:rsidR="000205DD" w:rsidRDefault="000205DD" w:rsidP="00200095">
            <w:pPr>
              <w:jc w:val="center"/>
              <w:rPr>
                <w:rFonts w:ascii="Calibri" w:eastAsia="Calibri" w:hAnsi="Calibri" w:cs="Calibri"/>
              </w:rPr>
            </w:pPr>
          </w:p>
        </w:tc>
        <w:tc>
          <w:tcPr>
            <w:tcW w:w="292" w:type="dxa"/>
            <w:shd w:val="clear" w:color="auto" w:fill="000084"/>
          </w:tcPr>
          <w:p w14:paraId="210E1876" w14:textId="77777777" w:rsidR="000205DD" w:rsidRDefault="000205DD" w:rsidP="00200095">
            <w:pPr>
              <w:snapToGrid w:val="0"/>
              <w:jc w:val="center"/>
              <w:rPr>
                <w:rFonts w:ascii="Calibri" w:eastAsia="Calibri" w:hAnsi="Calibri" w:cs="Calibri"/>
              </w:rPr>
            </w:pPr>
          </w:p>
        </w:tc>
        <w:tc>
          <w:tcPr>
            <w:tcW w:w="1739" w:type="dxa"/>
            <w:shd w:val="clear" w:color="auto" w:fill="000084"/>
          </w:tcPr>
          <w:p w14:paraId="34CD2D27" w14:textId="77777777" w:rsidR="000205DD" w:rsidRDefault="000205DD" w:rsidP="00200095">
            <w:pPr>
              <w:snapToGrid w:val="0"/>
              <w:jc w:val="center"/>
              <w:rPr>
                <w:rFonts w:ascii="Calibri" w:eastAsia="Calibri" w:hAnsi="Calibri" w:cs="Calibri"/>
              </w:rPr>
            </w:pPr>
          </w:p>
        </w:tc>
      </w:tr>
    </w:tbl>
    <w:p w14:paraId="24880667" w14:textId="77777777" w:rsidR="000205DD" w:rsidRDefault="000205DD" w:rsidP="004D219C">
      <w:pPr>
        <w:pStyle w:val="Titolo3"/>
        <w:rPr>
          <w:rStyle w:val="normaltextrun"/>
          <w:b/>
          <w:color w:val="000000"/>
          <w:sz w:val="22"/>
          <w:szCs w:val="22"/>
          <w:bdr w:val="none" w:sz="0" w:space="0" w:color="auto" w:frame="1"/>
        </w:rPr>
      </w:pPr>
    </w:p>
    <w:p w14:paraId="3AABAE64" w14:textId="1E93BB60" w:rsidR="004D219C" w:rsidRPr="00F449D2" w:rsidRDefault="004D219C" w:rsidP="004D219C">
      <w:pPr>
        <w:pStyle w:val="Titolo3"/>
        <w:rPr>
          <w:rStyle w:val="normaltextrun"/>
          <w:b/>
          <w:color w:val="000000"/>
          <w:sz w:val="22"/>
          <w:szCs w:val="22"/>
          <w:bdr w:val="none" w:sz="0" w:space="0" w:color="auto" w:frame="1"/>
        </w:rPr>
      </w:pPr>
      <w:r w:rsidRPr="00F449D2">
        <w:rPr>
          <w:rStyle w:val="normaltextrun"/>
          <w:b/>
          <w:color w:val="000000"/>
          <w:sz w:val="22"/>
          <w:szCs w:val="22"/>
          <w:bdr w:val="none" w:sz="0" w:space="0" w:color="auto" w:frame="1"/>
        </w:rPr>
        <w:t>Epilessia</w:t>
      </w:r>
    </w:p>
    <w:p w14:paraId="674E1442" w14:textId="77777777" w:rsidR="004D219C"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Le crisi epilettiche ed in generale le altre alterazioni improvvise dello stato di coscienza costituiscono un pericolo grave per l’incolumità dei lavoratori </w:t>
      </w:r>
      <w:r w:rsidRPr="0002673E">
        <w:rPr>
          <w:rFonts w:eastAsia="Times New Roman" w:cstheme="minorHAnsi"/>
          <w:color w:val="000000" w:themeColor="text1"/>
          <w:lang w:eastAsia="it-IT"/>
        </w:rPr>
        <w:t xml:space="preserve">adibiti ad attività </w:t>
      </w:r>
      <w:r w:rsidRPr="0002673E">
        <w:rPr>
          <w:rFonts w:eastAsia="Times New Roman" w:cstheme="minorHAnsi"/>
          <w:color w:val="000000" w:themeColor="text1"/>
          <w:kern w:val="0"/>
          <w:lang w:eastAsia="it-IT"/>
          <w14:ligatures w14:val="none"/>
        </w:rPr>
        <w:t xml:space="preserve">che comportano rischi per la </w:t>
      </w:r>
      <w:r w:rsidRPr="0002673E">
        <w:rPr>
          <w:rFonts w:eastAsia="Times New Roman" w:cstheme="minorHAnsi"/>
          <w:color w:val="000000" w:themeColor="text1"/>
          <w:lang w:eastAsia="it-IT"/>
        </w:rPr>
        <w:t>sicurezza</w:t>
      </w:r>
      <w:r w:rsidRPr="000B43C9">
        <w:rPr>
          <w:rFonts w:eastAsia="Times New Roman" w:cstheme="minorHAnsi"/>
          <w:lang w:eastAsia="it-IT"/>
        </w:rPr>
        <w:t>.</w:t>
      </w:r>
    </w:p>
    <w:p w14:paraId="396C1154" w14:textId="77777777" w:rsidR="004D219C" w:rsidRPr="0042514B" w:rsidRDefault="004D219C" w:rsidP="004D219C">
      <w:pPr>
        <w:spacing w:after="120" w:line="240" w:lineRule="auto"/>
        <w:jc w:val="both"/>
        <w:textAlignment w:val="baseline"/>
        <w:rPr>
          <w:rFonts w:eastAsia="Times New Roman" w:cstheme="minorHAnsi"/>
          <w:lang w:eastAsia="it-IT"/>
        </w:rPr>
      </w:pPr>
      <w:r w:rsidRPr="0042514B">
        <w:rPr>
          <w:rFonts w:eastAsia="Times New Roman" w:cstheme="minorHAnsi"/>
          <w:lang w:eastAsia="it-IT"/>
        </w:rPr>
        <w:t>Occorre preliminarmente ricordare che dal punto di vista clinico per porre una diagnosi di Epilessia è necessario che il soggetto abbia avuto almeno due crisi epilettiche a distanza di tempo superiore alle 24 ore e che le crisi siano avvenute spontaneamente, cioè non siano state provocate da fattori specifici o da situazioni particolari. In alternativa però è possibile già porre diagnosi di Epilessia qualora il paziente abbia avuto una singola crisi epilettica non provocata (spontanea) e presenti un elevato rischio di ricorrenza di crisi epilettiche (≥60%), che l’</w:t>
      </w:r>
      <w:proofErr w:type="spellStart"/>
      <w:r w:rsidRPr="0042514B">
        <w:rPr>
          <w:rFonts w:eastAsia="Times New Roman" w:cstheme="minorHAnsi"/>
          <w:lang w:eastAsia="it-IT"/>
        </w:rPr>
        <w:t>epilettologo</w:t>
      </w:r>
      <w:proofErr w:type="spellEnd"/>
      <w:r w:rsidRPr="0042514B">
        <w:rPr>
          <w:rFonts w:eastAsia="Times New Roman" w:cstheme="minorHAnsi"/>
          <w:lang w:eastAsia="it-IT"/>
        </w:rPr>
        <w:t xml:space="preserve"> potrà essere in grado di calcolare in rapporto alle specifiche caratteristiche cliniche ed elettroencefalografiche (LICE, 2023).</w:t>
      </w:r>
    </w:p>
    <w:p w14:paraId="01E185D5"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Anche in presenza di una singola crisi comiziale è bene che il soggetto sia dissuaso dalla guida da parte dei sanitari che offrono assistenza, almeno sino a quando non siano condotti gli accertamenti utili </w:t>
      </w:r>
      <w:proofErr w:type="gramStart"/>
      <w:r w:rsidRPr="000B43C9">
        <w:rPr>
          <w:rFonts w:eastAsia="Times New Roman" w:cstheme="minorHAnsi"/>
          <w:lang w:eastAsia="it-IT"/>
        </w:rPr>
        <w:t>ad</w:t>
      </w:r>
      <w:proofErr w:type="gramEnd"/>
      <w:r w:rsidRPr="000B43C9">
        <w:rPr>
          <w:rFonts w:eastAsia="Times New Roman" w:cstheme="minorHAnsi"/>
          <w:lang w:eastAsia="it-IT"/>
        </w:rPr>
        <w:t xml:space="preserve"> identificarne la causa o ad escludere la presenza di patologie che possano determinarne una ricorrenza, non solo di competenza neurologica (si vedano alcune condizioni critiche identificate nel capitolo relativo alle cardiopatie ad esempio). </w:t>
      </w:r>
    </w:p>
    <w:p w14:paraId="43D7E657" w14:textId="77777777" w:rsidR="004D219C" w:rsidRPr="000B43C9" w:rsidRDefault="004D219C" w:rsidP="004D219C">
      <w:pPr>
        <w:spacing w:after="120" w:line="240" w:lineRule="auto"/>
        <w:jc w:val="both"/>
        <w:textAlignment w:val="baseline"/>
        <w:rPr>
          <w:rFonts w:eastAsia="Times New Roman" w:cstheme="minorHAnsi"/>
          <w:lang w:eastAsia="it-IT"/>
        </w:rPr>
      </w:pPr>
      <w:r w:rsidRPr="0036256A">
        <w:rPr>
          <w:rFonts w:eastAsia="Times New Roman" w:cstheme="minorHAnsi"/>
          <w:highlight w:val="yellow"/>
          <w:lang w:eastAsia="it-IT"/>
        </w:rPr>
        <w:t xml:space="preserve">Nel caso in cui l’origine della perdita di coscienza fosse neurologica (una confermata crisi epilettica isolata) il periodo di astensione dalla guida dovrebbe essere di almeno </w:t>
      </w:r>
      <w:proofErr w:type="gramStart"/>
      <w:r w:rsidRPr="0036256A">
        <w:rPr>
          <w:rFonts w:eastAsia="Times New Roman" w:cstheme="minorHAnsi"/>
          <w:highlight w:val="yellow"/>
          <w:lang w:eastAsia="it-IT"/>
        </w:rPr>
        <w:t>6</w:t>
      </w:r>
      <w:proofErr w:type="gramEnd"/>
      <w:r w:rsidRPr="0036256A">
        <w:rPr>
          <w:rFonts w:eastAsia="Times New Roman" w:cstheme="minorHAnsi"/>
          <w:highlight w:val="yellow"/>
          <w:lang w:eastAsia="it-IT"/>
        </w:rPr>
        <w:t xml:space="preserve"> mesi, durante i quali ovviamente non devono presentarsi nuove crisi.</w:t>
      </w:r>
    </w:p>
    <w:p w14:paraId="4CAC66A8"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Stando a quanto previsto dal D.lgs. 59/11 in merito alle patenti di gruppo 2 (categorie C, CE, C1, C1E, D, DE, D1 e D1E), anche una singola crisi epilettica determina l’impossibilità ad ottenere l’abilitazione alla guida, salvo sia trascorso un periodo di dieci anni senza ulteriori crisi e senza il ricorso a farmaci antiepilettici.</w:t>
      </w:r>
    </w:p>
    <w:p w14:paraId="0CEB1DB7" w14:textId="77777777" w:rsidR="004D219C"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La suddetta normativa relativa alle patenti di guida identifica anche una fattispecie specifica di singola crisi che definisce "crisi epilettica provocata", ovvero scatenata da una causa identificabile e potenzialmente evitabile (e dunque potenzialmente di minore impatto). In questi casi la probabilità che si ripeta l’evento scatenante potrebbe risultare estremamente bassa e di conseguenza potrebbero non rendersi necessarie restrizioni. Si ritiene anche in questo caso mantenere dove possibile un controllo ravvicinato nel tempo per verificare che non vi siano ulteriori ricorrenze di episodi che possano portare ad una modifica del giudizio. </w:t>
      </w:r>
    </w:p>
    <w:p w14:paraId="32DFB16D"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Occorre tuttavia ricordare che per le patenti di gruppo 2, stando alle indicazioni dell’allegato III del </w:t>
      </w:r>
      <w:proofErr w:type="spellStart"/>
      <w:r w:rsidRPr="000B43C9">
        <w:rPr>
          <w:rFonts w:eastAsia="Times New Roman" w:cstheme="minorHAnsi"/>
          <w:lang w:eastAsia="it-IT"/>
        </w:rPr>
        <w:t>D.Lgs.</w:t>
      </w:r>
      <w:proofErr w:type="spellEnd"/>
      <w:r w:rsidRPr="000B43C9">
        <w:rPr>
          <w:rFonts w:eastAsia="Times New Roman" w:cstheme="minorHAnsi"/>
          <w:lang w:eastAsia="it-IT"/>
        </w:rPr>
        <w:t xml:space="preserve"> 59/2011, è possibile riprendere la guida ma solo di veicoli ad uso privato e non per trasporto terzi (elemento da tenere in considerazione</w:t>
      </w:r>
      <w:r>
        <w:rPr>
          <w:rFonts w:eastAsia="Times New Roman" w:cstheme="minorHAnsi"/>
          <w:lang w:eastAsia="it-IT"/>
        </w:rPr>
        <w:t>,</w:t>
      </w:r>
      <w:r w:rsidRPr="000B43C9">
        <w:rPr>
          <w:rFonts w:eastAsia="Times New Roman" w:cstheme="minorHAnsi"/>
          <w:lang w:eastAsia="it-IT"/>
        </w:rPr>
        <w:t xml:space="preserve"> ad esempio</w:t>
      </w:r>
      <w:r>
        <w:rPr>
          <w:rFonts w:eastAsia="Times New Roman" w:cstheme="minorHAnsi"/>
          <w:lang w:eastAsia="it-IT"/>
        </w:rPr>
        <w:t>,</w:t>
      </w:r>
      <w:r w:rsidRPr="000B43C9">
        <w:rPr>
          <w:rFonts w:eastAsia="Times New Roman" w:cstheme="minorHAnsi"/>
          <w:lang w:eastAsia="it-IT"/>
        </w:rPr>
        <w:t xml:space="preserve"> durante le visite effettuate ai sensi del D.M. 88/99 da parte delle strutture preposte).</w:t>
      </w:r>
    </w:p>
    <w:p w14:paraId="4AA66210"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Per quanto riguarda la epilessia, un orientamento diagnostico accurato verso una specifica forma di epilessia è fondamentale per consentire di valutare correttamente il livello di rischio per il soggetto e per definire la terapia più adeguata.</w:t>
      </w:r>
    </w:p>
    <w:p w14:paraId="6C0CD3E1"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Come indicato in tutti i paragrafi anche precedenti, l’interazione ed il coinvolgimento degli specialisti risulta indispensabile all’inquadramento.</w:t>
      </w:r>
    </w:p>
    <w:p w14:paraId="4329574C"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Anzitutto è necessario evitare che patologie appartenenti alla storia remota del soggetto, magari silenti da anni e non più in trattamento farmacologico, possano pregiudicare l’idoneità del soggetto. In proposito un tempo di </w:t>
      </w:r>
      <w:proofErr w:type="gramStart"/>
      <w:r w:rsidRPr="000B43C9">
        <w:rPr>
          <w:rFonts w:eastAsia="Times New Roman" w:cstheme="minorHAnsi"/>
          <w:lang w:eastAsia="it-IT"/>
        </w:rPr>
        <w:t>10</w:t>
      </w:r>
      <w:proofErr w:type="gramEnd"/>
      <w:r w:rsidRPr="000B43C9">
        <w:rPr>
          <w:rFonts w:eastAsia="Times New Roman" w:cstheme="minorHAnsi"/>
          <w:lang w:eastAsia="it-IT"/>
        </w:rPr>
        <w:t xml:space="preserve"> anni in assenza di sintomi e libero da terapie viene convenzionalmente indicato come indice di guarigione </w:t>
      </w:r>
      <w:r>
        <w:rPr>
          <w:rFonts w:eastAsia="Times New Roman" w:cstheme="minorHAnsi"/>
          <w:lang w:eastAsia="it-IT"/>
        </w:rPr>
        <w:t xml:space="preserve">e </w:t>
      </w:r>
      <w:r w:rsidRPr="000B43C9">
        <w:rPr>
          <w:rFonts w:eastAsia="Times New Roman" w:cstheme="minorHAnsi"/>
          <w:lang w:eastAsia="it-IT"/>
        </w:rPr>
        <w:t xml:space="preserve">soglia di sicurezza per tutte le condizioni di guida. Per i mezzi di minori dimensioni o caratterizzati da minore rischio di incidente ed interferenza il periodo di sicurezza può anche essere ridotto a 5 anni liberi da crisi e senza terapie (a titolo esemplificativo è il periodo indicato per le patenti di gruppo 1, per analogia il criterio potrebbe essere esteso ad altri mezzi professionali, di massa ridotta e privi di rimorchio, quali ad esempio i carrelli elevatori </w:t>
      </w:r>
      <w:proofErr w:type="spellStart"/>
      <w:r w:rsidRPr="000B43C9">
        <w:rPr>
          <w:rFonts w:eastAsia="Times New Roman" w:cstheme="minorHAnsi"/>
          <w:lang w:eastAsia="it-IT"/>
        </w:rPr>
        <w:t>etc</w:t>
      </w:r>
      <w:proofErr w:type="spellEnd"/>
      <w:r w:rsidRPr="000B43C9">
        <w:rPr>
          <w:rFonts w:eastAsia="Times New Roman" w:cstheme="minorHAnsi"/>
          <w:lang w:eastAsia="it-IT"/>
        </w:rPr>
        <w:t>).</w:t>
      </w:r>
    </w:p>
    <w:p w14:paraId="2406E27E"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lastRenderedPageBreak/>
        <w:t xml:space="preserve">In presenza di una epilessia (almeno </w:t>
      </w:r>
      <w:proofErr w:type="gramStart"/>
      <w:r w:rsidRPr="000B43C9">
        <w:rPr>
          <w:rFonts w:eastAsia="Times New Roman" w:cstheme="minorHAnsi"/>
          <w:lang w:eastAsia="it-IT"/>
        </w:rPr>
        <w:t>2</w:t>
      </w:r>
      <w:proofErr w:type="gramEnd"/>
      <w:r w:rsidRPr="000B43C9">
        <w:rPr>
          <w:rFonts w:eastAsia="Times New Roman" w:cstheme="minorHAnsi"/>
          <w:lang w:eastAsia="it-IT"/>
        </w:rPr>
        <w:t xml:space="preserve"> crisi) non ancora giudicata in remissione, è necessario che il lavoratore sia libero da crisi da almeno un anno (certificato con il sostegno di un neurologo) prima di riprendere le attività di guida, per aspetti relativi alla sicurezza. </w:t>
      </w:r>
    </w:p>
    <w:p w14:paraId="372BB41F"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È bene considerare che per le patenti di gruppo 2 la richiesta è di 10 anni di remissione in assenza di terapia farmacologica, un tempo estremamente lungo e dunque difficilmente compatibile con la ripresa di una attività professionale, tuttavia definito in modo cogente dalla norma e dunque vincolante. In questi casi, come anticipato in altri passaggi, il giudizio alla mansione specifica da parte del Medico Competente dovrebbe essere sospeso, rinviando il lavoratore ad una rivalutazione preliminare della patente di guida da parte della commissione medica.</w:t>
      </w:r>
    </w:p>
    <w:p w14:paraId="22A9D385"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Esiste una condizione specifica di epilessia, con crisi limitate esclusivamente al periodo di sonno del soggetto, che rappresentano una condizione da considerare a basso rischio per la sicurezza. Nei casi di epilessia esclusivamente </w:t>
      </w:r>
      <w:proofErr w:type="spellStart"/>
      <w:r w:rsidRPr="000B43C9">
        <w:rPr>
          <w:rFonts w:eastAsia="Times New Roman" w:cstheme="minorHAnsi"/>
          <w:lang w:eastAsia="it-IT"/>
        </w:rPr>
        <w:t>morfeica</w:t>
      </w:r>
      <w:proofErr w:type="spellEnd"/>
      <w:r w:rsidRPr="000B43C9">
        <w:rPr>
          <w:rFonts w:eastAsia="Times New Roman" w:cstheme="minorHAnsi"/>
          <w:lang w:eastAsia="it-IT"/>
        </w:rPr>
        <w:t>, è dunque possibile rilasciare la idoneità anche per soggetti che abbiano crisi ancora ricorrenti. Convenzionalmente si ritiene che il periodo di osservazione utile e necessario a definire le crisi come esclusivamente legate al sonno, deve essere di almeno un anno. La normativa relativa alle patenti di guida identifica questa possibilità per il solo gruppo 1 e non per il gruppo 2; si ritiene che questo tipo di approccio possa essere esteso anche alla conduzione di altri mezzi, caratterizzati da una massa ridotta e in assenza di rimorchio (ad esempio carelli elevatori).</w:t>
      </w:r>
    </w:p>
    <w:p w14:paraId="68244904"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In caso di forme di epilessia focale senza effetti sullo stato di coscienza o sulla capacità di azione, </w:t>
      </w:r>
      <w:proofErr w:type="spellStart"/>
      <w:r w:rsidRPr="000B43C9">
        <w:rPr>
          <w:rFonts w:eastAsia="Times New Roman" w:cstheme="minorHAnsi"/>
          <w:lang w:eastAsia="it-IT"/>
        </w:rPr>
        <w:t>purchè</w:t>
      </w:r>
      <w:proofErr w:type="spellEnd"/>
      <w:r w:rsidRPr="000B43C9">
        <w:rPr>
          <w:rFonts w:eastAsia="Times New Roman" w:cstheme="minorHAnsi"/>
          <w:lang w:eastAsia="it-IT"/>
        </w:rPr>
        <w:t xml:space="preserve"> sia trascorso congruo periodo di osservazione a conferma della diagnosi (convenzionalmente un anno), il lavoratore può essere dichiarato idoneo alla guida. Anche in questo caso è bene ricordare che la normativa relativa alle patenti di guida non contempla la possibilità per le patenti del gruppo 2, valgono dunque le considerazioni avanzate in merito alla epilessia </w:t>
      </w:r>
      <w:proofErr w:type="spellStart"/>
      <w:r w:rsidRPr="000B43C9">
        <w:rPr>
          <w:rFonts w:eastAsia="Times New Roman" w:cstheme="minorHAnsi"/>
          <w:lang w:eastAsia="it-IT"/>
        </w:rPr>
        <w:t>morfeica</w:t>
      </w:r>
      <w:proofErr w:type="spellEnd"/>
      <w:r w:rsidRPr="000B43C9">
        <w:rPr>
          <w:rFonts w:eastAsia="Times New Roman" w:cstheme="minorHAnsi"/>
          <w:lang w:eastAsia="it-IT"/>
        </w:rPr>
        <w:t>.</w:t>
      </w:r>
    </w:p>
    <w:p w14:paraId="53120507"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Come è possibile constatare, i margini di autonomia professionale del medico nel valutare il singolo caso clinico sono estremamente ridotti per quanto riguarda il tema della epilessia, dove esiste una normativa molto rigida ed articolata per il preliminare rilascio del titolo di abilitazione che condiziona le valutazioni più mirate alla guida dei mezzi di pubblico trasporto o per la definizione della idoneità alla mansione specifica.</w:t>
      </w:r>
    </w:p>
    <w:p w14:paraId="7557D0EE" w14:textId="77777777" w:rsidR="004D219C" w:rsidRPr="000B43C9" w:rsidRDefault="004D219C" w:rsidP="004D219C">
      <w:pPr>
        <w:spacing w:after="120" w:line="240" w:lineRule="auto"/>
        <w:jc w:val="both"/>
        <w:textAlignment w:val="baseline"/>
        <w:rPr>
          <w:rFonts w:eastAsia="Times New Roman" w:cstheme="minorHAnsi"/>
          <w:lang w:eastAsia="it-IT"/>
        </w:rPr>
      </w:pPr>
      <w:r w:rsidRPr="000B43C9">
        <w:rPr>
          <w:rFonts w:eastAsia="Times New Roman" w:cstheme="minorHAnsi"/>
          <w:lang w:eastAsia="it-IT"/>
        </w:rPr>
        <w:t xml:space="preserve">Da tenere conto inoltre che alcune norme, come il </w:t>
      </w:r>
      <w:proofErr w:type="spellStart"/>
      <w:r w:rsidRPr="000B43C9">
        <w:rPr>
          <w:rFonts w:eastAsia="Times New Roman" w:cstheme="minorHAnsi"/>
          <w:lang w:eastAsia="it-IT"/>
        </w:rPr>
        <w:t>D.Lgs.</w:t>
      </w:r>
      <w:proofErr w:type="spellEnd"/>
      <w:r w:rsidRPr="000B43C9">
        <w:rPr>
          <w:rFonts w:eastAsia="Times New Roman" w:cstheme="minorHAnsi"/>
          <w:lang w:eastAsia="it-IT"/>
        </w:rPr>
        <w:t xml:space="preserve"> 247/10, escludono di fatto un possibile riconoscimento idoneativo in presenza di qualsiasi manifestazione clinica dell’epilessia riportando testualmente che “I macchinisti non devono soffrire di disturbi clinici, né assumere medicinali, stupefacenti o sostanze in grado di provocare:</w:t>
      </w:r>
    </w:p>
    <w:p w14:paraId="44F7302C" w14:textId="77777777" w:rsidR="004D219C" w:rsidRPr="000B43C9" w:rsidRDefault="004D219C" w:rsidP="004D219C">
      <w:pPr>
        <w:pStyle w:val="paragraph"/>
        <w:numPr>
          <w:ilvl w:val="0"/>
          <w:numId w:val="1"/>
        </w:numPr>
        <w:spacing w:before="0" w:beforeAutospacing="0" w:after="120" w:afterAutospacing="0"/>
        <w:ind w:left="568" w:hanging="284"/>
        <w:contextualSpacing/>
        <w:jc w:val="both"/>
        <w:textAlignment w:val="baseline"/>
        <w:rPr>
          <w:rFonts w:asciiTheme="minorHAnsi" w:hAnsiTheme="minorHAnsi" w:cstheme="minorHAnsi"/>
          <w:sz w:val="22"/>
          <w:szCs w:val="22"/>
        </w:rPr>
      </w:pPr>
      <w:r w:rsidRPr="000B43C9">
        <w:rPr>
          <w:rFonts w:asciiTheme="minorHAnsi" w:hAnsiTheme="minorHAnsi" w:cstheme="minorHAnsi"/>
          <w:sz w:val="22"/>
          <w:szCs w:val="22"/>
        </w:rPr>
        <w:t>Un’improvvisa perdita di coscienza;</w:t>
      </w:r>
    </w:p>
    <w:p w14:paraId="59FFEF9C" w14:textId="77777777" w:rsidR="004D219C" w:rsidRPr="000B43C9" w:rsidRDefault="004D219C" w:rsidP="004D219C">
      <w:pPr>
        <w:pStyle w:val="paragraph"/>
        <w:numPr>
          <w:ilvl w:val="0"/>
          <w:numId w:val="1"/>
        </w:numPr>
        <w:spacing w:before="0" w:beforeAutospacing="0" w:after="120" w:afterAutospacing="0"/>
        <w:ind w:left="568" w:hanging="284"/>
        <w:contextualSpacing/>
        <w:jc w:val="both"/>
        <w:textAlignment w:val="baseline"/>
        <w:rPr>
          <w:rFonts w:asciiTheme="minorHAnsi" w:hAnsiTheme="minorHAnsi" w:cstheme="minorHAnsi"/>
          <w:sz w:val="22"/>
          <w:szCs w:val="22"/>
        </w:rPr>
      </w:pPr>
      <w:r w:rsidRPr="000B43C9">
        <w:rPr>
          <w:rFonts w:asciiTheme="minorHAnsi" w:hAnsiTheme="minorHAnsi" w:cstheme="minorHAnsi"/>
          <w:sz w:val="22"/>
          <w:szCs w:val="22"/>
        </w:rPr>
        <w:t>Una riduzione dell’attenzione o della concentrazione;</w:t>
      </w:r>
    </w:p>
    <w:p w14:paraId="4A981587" w14:textId="77777777" w:rsidR="004D219C" w:rsidRPr="000B43C9" w:rsidRDefault="004D219C" w:rsidP="004D219C">
      <w:pPr>
        <w:pStyle w:val="paragraph"/>
        <w:numPr>
          <w:ilvl w:val="0"/>
          <w:numId w:val="1"/>
        </w:numPr>
        <w:spacing w:before="0" w:beforeAutospacing="0" w:after="120" w:afterAutospacing="0"/>
        <w:ind w:left="568" w:hanging="284"/>
        <w:contextualSpacing/>
        <w:jc w:val="both"/>
        <w:textAlignment w:val="baseline"/>
        <w:rPr>
          <w:rFonts w:asciiTheme="minorHAnsi" w:hAnsiTheme="minorHAnsi" w:cstheme="minorHAnsi"/>
          <w:sz w:val="22"/>
          <w:szCs w:val="22"/>
        </w:rPr>
      </w:pPr>
      <w:r w:rsidRPr="000B43C9">
        <w:rPr>
          <w:rFonts w:asciiTheme="minorHAnsi" w:hAnsiTheme="minorHAnsi" w:cstheme="minorHAnsi"/>
          <w:sz w:val="22"/>
          <w:szCs w:val="22"/>
        </w:rPr>
        <w:t>Un’improvvisa incapacità;</w:t>
      </w:r>
    </w:p>
    <w:p w14:paraId="477EBE6C" w14:textId="77777777" w:rsidR="004D219C" w:rsidRPr="000B43C9" w:rsidRDefault="004D219C" w:rsidP="004D219C">
      <w:pPr>
        <w:pStyle w:val="paragraph"/>
        <w:numPr>
          <w:ilvl w:val="0"/>
          <w:numId w:val="1"/>
        </w:numPr>
        <w:spacing w:before="0" w:beforeAutospacing="0" w:after="120" w:afterAutospacing="0"/>
        <w:ind w:left="568" w:hanging="284"/>
        <w:contextualSpacing/>
        <w:jc w:val="both"/>
        <w:textAlignment w:val="baseline"/>
        <w:rPr>
          <w:rFonts w:asciiTheme="minorHAnsi" w:hAnsiTheme="minorHAnsi" w:cstheme="minorHAnsi"/>
          <w:sz w:val="22"/>
          <w:szCs w:val="22"/>
        </w:rPr>
      </w:pPr>
      <w:r w:rsidRPr="000B43C9">
        <w:rPr>
          <w:rFonts w:asciiTheme="minorHAnsi" w:hAnsiTheme="minorHAnsi" w:cstheme="minorHAnsi"/>
          <w:sz w:val="22"/>
          <w:szCs w:val="22"/>
        </w:rPr>
        <w:t>Una perdita d’equilibrio o di coordinazione;</w:t>
      </w:r>
    </w:p>
    <w:p w14:paraId="645C2207" w14:textId="77777777" w:rsidR="004D219C" w:rsidRPr="000B43C9" w:rsidRDefault="004D219C" w:rsidP="004D219C">
      <w:pPr>
        <w:pStyle w:val="paragraph"/>
        <w:numPr>
          <w:ilvl w:val="0"/>
          <w:numId w:val="1"/>
        </w:numPr>
        <w:spacing w:before="0" w:beforeAutospacing="0" w:after="120" w:afterAutospacing="0"/>
        <w:ind w:left="568" w:hanging="284"/>
        <w:contextualSpacing/>
        <w:jc w:val="both"/>
        <w:textAlignment w:val="baseline"/>
        <w:rPr>
          <w:rFonts w:asciiTheme="minorHAnsi" w:hAnsiTheme="minorHAnsi" w:cstheme="minorHAnsi"/>
          <w:sz w:val="22"/>
          <w:szCs w:val="22"/>
        </w:rPr>
      </w:pPr>
      <w:r w:rsidRPr="000B43C9">
        <w:rPr>
          <w:rFonts w:asciiTheme="minorHAnsi" w:hAnsiTheme="minorHAnsi" w:cstheme="minorHAnsi"/>
          <w:sz w:val="22"/>
          <w:szCs w:val="22"/>
        </w:rPr>
        <w:t>Una limitazione significativa di mobilità”.</w:t>
      </w:r>
    </w:p>
    <w:p w14:paraId="4CB256D0" w14:textId="77777777" w:rsidR="00CB1824" w:rsidRDefault="00CB1824"/>
    <w:sectPr w:rsidR="00CB18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13014"/>
    <w:multiLevelType w:val="hybridMultilevel"/>
    <w:tmpl w:val="582608C4"/>
    <w:lvl w:ilvl="0" w:tplc="E8BE4AF6">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8424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9C"/>
    <w:rsid w:val="000205DD"/>
    <w:rsid w:val="0036256A"/>
    <w:rsid w:val="004D219C"/>
    <w:rsid w:val="008D218D"/>
    <w:rsid w:val="00CB1824"/>
    <w:rsid w:val="00F536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C130"/>
  <w15:chartTrackingRefBased/>
  <w15:docId w15:val="{E54CC09E-C8AF-43A7-9075-1DF4AA15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219C"/>
  </w:style>
  <w:style w:type="paragraph" w:styleId="Titolo1">
    <w:name w:val="heading 1"/>
    <w:basedOn w:val="Normale"/>
    <w:next w:val="Normale"/>
    <w:link w:val="Titolo1Carattere"/>
    <w:uiPriority w:val="9"/>
    <w:qFormat/>
    <w:rsid w:val="004D2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D2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nhideWhenUsed/>
    <w:qFormat/>
    <w:rsid w:val="004D219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D219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D219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D219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D219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D219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D219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D219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D219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rsid w:val="004D219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D219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D219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D219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D219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D219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D219C"/>
    <w:rPr>
      <w:rFonts w:eastAsiaTheme="majorEastAsia" w:cstheme="majorBidi"/>
      <w:color w:val="272727" w:themeColor="text1" w:themeTint="D8"/>
    </w:rPr>
  </w:style>
  <w:style w:type="paragraph" w:styleId="Titolo">
    <w:name w:val="Title"/>
    <w:basedOn w:val="Normale"/>
    <w:next w:val="Normale"/>
    <w:link w:val="TitoloCarattere"/>
    <w:uiPriority w:val="10"/>
    <w:qFormat/>
    <w:rsid w:val="004D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D219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D219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D219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D219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D219C"/>
    <w:rPr>
      <w:i/>
      <w:iCs/>
      <w:color w:val="404040" w:themeColor="text1" w:themeTint="BF"/>
    </w:rPr>
  </w:style>
  <w:style w:type="paragraph" w:styleId="Paragrafoelenco">
    <w:name w:val="List Paragraph"/>
    <w:basedOn w:val="Normale"/>
    <w:uiPriority w:val="34"/>
    <w:qFormat/>
    <w:rsid w:val="004D219C"/>
    <w:pPr>
      <w:ind w:left="720"/>
      <w:contextualSpacing/>
    </w:pPr>
  </w:style>
  <w:style w:type="character" w:styleId="Enfasiintensa">
    <w:name w:val="Intense Emphasis"/>
    <w:basedOn w:val="Carpredefinitoparagrafo"/>
    <w:uiPriority w:val="21"/>
    <w:qFormat/>
    <w:rsid w:val="004D219C"/>
    <w:rPr>
      <w:i/>
      <w:iCs/>
      <w:color w:val="2F5496" w:themeColor="accent1" w:themeShade="BF"/>
    </w:rPr>
  </w:style>
  <w:style w:type="paragraph" w:styleId="Citazioneintensa">
    <w:name w:val="Intense Quote"/>
    <w:basedOn w:val="Normale"/>
    <w:next w:val="Normale"/>
    <w:link w:val="CitazioneintensaCarattere"/>
    <w:uiPriority w:val="30"/>
    <w:qFormat/>
    <w:rsid w:val="004D2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D219C"/>
    <w:rPr>
      <w:i/>
      <w:iCs/>
      <w:color w:val="2F5496" w:themeColor="accent1" w:themeShade="BF"/>
    </w:rPr>
  </w:style>
  <w:style w:type="character" w:styleId="Riferimentointenso">
    <w:name w:val="Intense Reference"/>
    <w:basedOn w:val="Carpredefinitoparagrafo"/>
    <w:uiPriority w:val="32"/>
    <w:qFormat/>
    <w:rsid w:val="004D219C"/>
    <w:rPr>
      <w:b/>
      <w:bCs/>
      <w:smallCaps/>
      <w:color w:val="2F5496" w:themeColor="accent1" w:themeShade="BF"/>
      <w:spacing w:val="5"/>
    </w:rPr>
  </w:style>
  <w:style w:type="paragraph" w:customStyle="1" w:styleId="paragraph">
    <w:name w:val="paragraph"/>
    <w:basedOn w:val="Normale"/>
    <w:rsid w:val="004D219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normaltextrun">
    <w:name w:val="normaltextrun"/>
    <w:basedOn w:val="Carpredefinitoparagrafo"/>
    <w:rsid w:val="004D2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Cristaudo</dc:creator>
  <cp:keywords/>
  <dc:description/>
  <cp:lastModifiedBy>Alfonso Cristaudo</cp:lastModifiedBy>
  <cp:revision>2</cp:revision>
  <dcterms:created xsi:type="dcterms:W3CDTF">2025-11-06T18:26:00Z</dcterms:created>
  <dcterms:modified xsi:type="dcterms:W3CDTF">2025-11-06T18:26:00Z</dcterms:modified>
</cp:coreProperties>
</file>